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21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hint="eastAsia" w:ascii="黑体" w:hAnsi="黑体" w:eastAsia="黑体" w:cs="黑体"/>
          <w:b/>
          <w:bCs/>
          <w:sz w:val="36"/>
          <w:szCs w:val="36"/>
          <w:lang w:bidi="ar"/>
        </w:rPr>
      </w:pPr>
    </w:p>
    <w:p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eastAsia="宋体" w:cs="Times New Roman"/>
          <w:b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bidi="ar"/>
        </w:rPr>
        <w:t>香港牡蛎</w:t>
      </w:r>
    </w:p>
    <w:p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hint="default" w:ascii="Times New Roman" w:hAnsi="Times New Roman" w:eastAsia="黑体" w:cs="Times New Roman"/>
          <w:bCs/>
          <w:sz w:val="24"/>
          <w:szCs w:val="24"/>
          <w:lang w:bidi="ar"/>
        </w:rPr>
      </w:pPr>
      <w:bookmarkStart w:id="2" w:name="_GoBack"/>
      <w:r>
        <w:rPr>
          <w:rFonts w:hint="default" w:ascii="Times New Roman" w:hAnsi="Times New Roman" w:eastAsia="黑体" w:cs="Times New Roman"/>
          <w:bCs/>
          <w:sz w:val="24"/>
          <w:szCs w:val="24"/>
          <w:lang w:bidi="ar"/>
        </w:rPr>
        <w:t>Xianggangmuli</w:t>
      </w:r>
    </w:p>
    <w:bookmarkEnd w:id="2"/>
    <w:p>
      <w:pPr>
        <w:pStyle w:val="9"/>
        <w:autoSpaceDE w:val="0"/>
        <w:autoSpaceDN w:val="0"/>
        <w:adjustRightInd w:val="0"/>
        <w:spacing w:line="360" w:lineRule="auto"/>
        <w:ind w:left="0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 w:bidi="ar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  <w:highlight w:val="none"/>
          <w:lang w:bidi="ar"/>
        </w:rPr>
        <w:t>C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bidi="ar"/>
        </w:rPr>
        <w:t>RASSOSTREA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 w:bidi="ar"/>
        </w:rPr>
        <w:t>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bidi="ar"/>
        </w:rPr>
        <w:t xml:space="preserve"> HONGKONGENSIS 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 w:bidi="ar"/>
        </w:rPr>
        <w:t>CONCHA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本品为牡蛎科动物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香港牡蛎</w:t>
      </w:r>
      <w:r>
        <w:rPr>
          <w:rFonts w:ascii="Times New Roman" w:hAnsi="Times New Roman" w:eastAsia="宋体" w:cs="Times New Roman"/>
          <w:bCs/>
          <w:i/>
          <w:iCs/>
          <w:sz w:val="24"/>
          <w:szCs w:val="24"/>
          <w:lang w:bidi="ar"/>
        </w:rPr>
        <w:t>Crassostrea hongkongensis</w:t>
      </w:r>
      <w:r>
        <w:rPr>
          <w:rFonts w:hint="eastAsia" w:ascii="Times New Roman" w:hAnsi="Times New Roman" w:eastAsia="宋体" w:cs="Times New Roman"/>
          <w:bCs/>
          <w:i/>
          <w:iCs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Lam et Morton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的贝壳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。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全年均可捕捞，去肉，洗净，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干燥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宋体"/>
          <w:sz w:val="24"/>
          <w:szCs w:val="24"/>
          <w:lang w:bidi="ar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【性状】</w:t>
      </w:r>
      <w:bookmarkStart w:id="0" w:name="_Hlk211325137"/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本品呈不规则长卵圆形、长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条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形或类三角形，长8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～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20cm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，高5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～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2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cm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。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右壳较小，略扁平，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鳞片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层状或层纹状排列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表面常具波状弯曲；壳外面黄褐色、灰褐色或浅灰色，鳞片边缘常因附着藻类而呈现绿色或绿褐色；内面瓷白色，壳顶二侧无小齿，凹陷浅。左壳大而厚，内面凹陷深，鳞片较右壳粗大，附着面小；内面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瓷白色，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闭壳肌痕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紫黑色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至黑褐色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。质硬，断面层状，洁白。气微，味微咸。</w:t>
      </w:r>
      <w:bookmarkEnd w:id="0"/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【鉴别】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（1）</w:t>
      </w:r>
      <w:bookmarkStart w:id="1" w:name="OLE_LINK124"/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本品粉末灰白色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 w:bidi="ar"/>
        </w:rPr>
        <w:t>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珍珠层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呈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不规则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碎块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，较大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者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呈条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状或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片状，表面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隐约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可见细小条纹。棱柱层碎片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 w:bidi="ar"/>
        </w:rPr>
        <w:t>断面观</w:t>
      </w:r>
      <w:r>
        <w:rPr>
          <w:rFonts w:ascii="Times New Roman" w:hAnsi="Times New Roman" w:eastAsia="宋体" w:cs="Times New Roman"/>
          <w:color w:val="000000"/>
          <w:sz w:val="24"/>
          <w:szCs w:val="24"/>
          <w:lang w:bidi="ar"/>
        </w:rPr>
        <w:t>呈棱柱状，断端平截，有的一端渐尖；表面观呈类多角形</w:t>
      </w:r>
      <w:bookmarkEnd w:id="1"/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（2）取本品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粉末2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g，研细，加稀盐酸15m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l，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滤过，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滤液用氢氧化钠试液调节pH值至10，静置，离心（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转速为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每分钟12000转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10分钟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，取沉淀置15m</w:t>
      </w:r>
      <w:r>
        <w:rPr>
          <w:rFonts w:hint="eastAsia" w:ascii="Times New Roman" w:hAnsi="Times New Roman" w:eastAsia="宋体" w:cs="Times New Roman"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安瓿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 w:bidi="ar"/>
        </w:rPr>
        <w:t>瓶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中，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加6.0mol/L盐酸10m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，150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℃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水解1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小时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。水解液蒸干，残渣加10%异丙醇-0.1mol/L盐酸溶液1m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使溶解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，作为供试品溶液。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另取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香港牡蛎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对照药材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2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g，同法制成对照药材溶液。照薄层色谱法（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《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中国药典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》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202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5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年版通则0502）试验，吸取上述两种溶液各2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～5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μ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，分别点于同一硅胶G薄层板上，以正丁醇-冰醋酸-水-丙酮-无水乙醇-0.5%茚三酮丙酮溶液（40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14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12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4</w:t>
      </w:r>
      <w:r>
        <w:rPr>
          <w:rFonts w:hint="eastAsia" w:ascii="宋体" w:hAnsi="宋体" w:eastAsia="宋体" w:cs="宋体"/>
          <w:bCs/>
          <w:sz w:val="24"/>
          <w:szCs w:val="24"/>
          <w:lang w:bidi="ar"/>
        </w:rPr>
        <w:t>: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4）为展开剂，展开，取出，晾干，在105℃加热至斑点显色清晰。供试品色谱中，在与对照药材色谱相应的位置上，显相同颜色的斑点。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【检查】酸不溶性灰分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bidi="ar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 xml:space="preserve"> 取本品粉末2g，置炽灼至恒重的坩埚中，炽灼至完全灰化，加入稀盐酸约20ml，照灰分测定法（《中国药典》2025年版通则2302）测定，不得过2.0%</w:t>
      </w:r>
      <w:r>
        <w:rPr>
          <w:rFonts w:ascii="Times New Roman" w:hAnsi="Times New Roman" w:cs="Times New Roman"/>
          <w:color w:val="000000"/>
          <w:sz w:val="24"/>
        </w:rPr>
        <w:t>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hint="default" w:ascii="Times New Roman" w:hAnsi="Times New Roman" w:cs="Times New Roman" w:eastAsiaTheme="minorEastAsia"/>
          <w:color w:val="000000"/>
          <w:sz w:val="24"/>
          <w:lang w:val="en-US" w:eastAsia="zh-CN"/>
        </w:rPr>
      </w:pPr>
      <w:r>
        <w:rPr>
          <w:rFonts w:hint="eastAsia" w:ascii="黑体" w:hAnsi="黑体" w:eastAsia="黑体" w:cs="Times New Roman"/>
          <w:bCs/>
          <w:color w:val="auto"/>
          <w:sz w:val="24"/>
          <w:szCs w:val="24"/>
          <w:lang w:val="en-US" w:eastAsia="zh-CN" w:bidi="ar"/>
        </w:rPr>
        <w:t>重金属及有害元素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照铅、镉、砷、汞、铜测定法（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《中国药典》2025年版通则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2321原子吸收分光光度法或电感耦合等离子体质谱法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）测定，铅不得过5mg/kg，镉不得过0.3mg/kg，砷不得过2mg/kg，汞不得过0.2mg/kg，铜不得过20mg/kg。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/>
          <w:bCs/>
          <w:sz w:val="24"/>
          <w:szCs w:val="24"/>
          <w:lang w:bidi="ar"/>
        </w:rPr>
      </w:pPr>
      <w:r>
        <w:rPr>
          <w:rFonts w:hint="eastAsia" w:ascii="黑体" w:hAnsi="黑体" w:eastAsia="黑体" w:cs="Times New Roman"/>
          <w:bCs/>
          <w:sz w:val="24"/>
          <w:szCs w:val="24"/>
          <w:lang w:bidi="ar"/>
        </w:rPr>
        <w:t>【含量测定】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取本品细粉约0.15g，精密称定，置锥形瓶中，加稀盐酸10m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，加热使溶解，加水20m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与甲基红指示液1滴，滴加10%氢氧化钾溶液至溶液显黄色，继续多加10m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，再加钙黄绿素指示剂少量，用乙二胺四醋酸二钠滴定液（0.05mol/L）滴定至溶液黄绿色荧光消失而显橙色。每1m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l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乙二胺四醋酸二钠滴定液（0.05mol/L）相当于5.004mg的碳酸钙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（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CaCO</w:t>
      </w:r>
      <w:r>
        <w:rPr>
          <w:rFonts w:ascii="Times New Roman" w:hAnsi="Times New Roman" w:eastAsia="宋体" w:cs="Times New Roman"/>
          <w:bCs/>
          <w:sz w:val="24"/>
          <w:szCs w:val="24"/>
          <w:vertAlign w:val="subscript"/>
          <w:lang w:bidi="ar"/>
        </w:rPr>
        <w:t>3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）</w:t>
      </w:r>
      <w:r>
        <w:rPr>
          <w:rFonts w:ascii="Times New Roman" w:hAnsi="Times New Roman" w:eastAsia="宋体" w:cs="Times New Roman"/>
          <w:b/>
          <w:bCs/>
          <w:sz w:val="24"/>
          <w:szCs w:val="24"/>
          <w:lang w:bidi="ar"/>
        </w:rPr>
        <w:t>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本品含碳酸钙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（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CaCO</w:t>
      </w:r>
      <w:r>
        <w:rPr>
          <w:rFonts w:ascii="Times New Roman" w:hAnsi="Times New Roman" w:eastAsia="宋体" w:cs="Times New Roman"/>
          <w:bCs/>
          <w:sz w:val="24"/>
          <w:szCs w:val="24"/>
          <w:vertAlign w:val="subscript"/>
          <w:lang w:bidi="ar"/>
        </w:rPr>
        <w:t>3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）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不得少于94.0%。</w:t>
      </w:r>
    </w:p>
    <w:p>
      <w:pPr>
        <w:autoSpaceDN w:val="0"/>
        <w:adjustRightInd w:val="0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bidi="ar"/>
        </w:rPr>
        <w:t>【性味与归经】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咸，微寒。归肝、胆、肾经。</w:t>
      </w:r>
    </w:p>
    <w:p>
      <w:pPr>
        <w:pStyle w:val="9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bidi="ar"/>
        </w:rPr>
        <w:t>【功能与主治】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重镇安神，潜阳补阴，软坚散结。用于惊悸失眠，眩晕耳鸣，瘰疬痰核，癥瘕痞块。</w:t>
      </w:r>
    </w:p>
    <w:p>
      <w:pPr>
        <w:pStyle w:val="9"/>
        <w:autoSpaceDE w:val="0"/>
        <w:autoSpaceDN w:val="0"/>
        <w:adjustRightInd w:val="0"/>
        <w:spacing w:line="360" w:lineRule="auto"/>
        <w:ind w:left="0" w:firstLine="480" w:firstLineChars="200"/>
        <w:rPr>
          <w:rFonts w:ascii="Times New Roman" w:hAnsi="Times New Roman" w:eastAsia="宋体" w:cs="Times New Roman"/>
          <w:bCs/>
          <w:sz w:val="24"/>
          <w:szCs w:val="24"/>
          <w:lang w:bidi="ar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bidi="ar"/>
        </w:rPr>
        <w:t>【用法与用量】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15～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6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0g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 w:bidi="ar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 w:bidi="ar"/>
        </w:rPr>
        <w:t>先煎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。</w:t>
      </w:r>
    </w:p>
    <w:p>
      <w:pPr>
        <w:ind w:firstLine="480" w:firstLineChars="200"/>
        <w:rPr>
          <w:rFonts w:eastAsia="宋体"/>
        </w:rPr>
      </w:pPr>
      <w:r>
        <w:rPr>
          <w:rFonts w:ascii="黑体" w:hAnsi="黑体" w:eastAsia="黑体" w:cs="Times New Roman"/>
          <w:bCs/>
          <w:sz w:val="24"/>
          <w:szCs w:val="24"/>
          <w:lang w:bidi="ar"/>
        </w:rPr>
        <w:t>【贮藏】</w:t>
      </w:r>
      <w:r>
        <w:rPr>
          <w:rFonts w:ascii="Times New Roman" w:hAnsi="Times New Roman" w:eastAsia="宋体" w:cs="Times New Roman"/>
          <w:bCs/>
          <w:sz w:val="24"/>
          <w:szCs w:val="24"/>
          <w:lang w:bidi="ar"/>
        </w:rPr>
        <w:t>置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bidi="ar"/>
        </w:rPr>
        <w:t>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01"/>
    <w:rsid w:val="00062D82"/>
    <w:rsid w:val="000E636D"/>
    <w:rsid w:val="00235D9F"/>
    <w:rsid w:val="0024339C"/>
    <w:rsid w:val="00362DB4"/>
    <w:rsid w:val="00683BFE"/>
    <w:rsid w:val="008D7307"/>
    <w:rsid w:val="00C81601"/>
    <w:rsid w:val="00CF041B"/>
    <w:rsid w:val="00CF366F"/>
    <w:rsid w:val="00D812F0"/>
    <w:rsid w:val="00E62591"/>
    <w:rsid w:val="00EB0E99"/>
    <w:rsid w:val="0DF00559"/>
    <w:rsid w:val="146C2810"/>
    <w:rsid w:val="15362F0A"/>
    <w:rsid w:val="21BD4E42"/>
    <w:rsid w:val="3FD1BC88"/>
    <w:rsid w:val="4E1857AC"/>
    <w:rsid w:val="55230401"/>
    <w:rsid w:val="594F6CBF"/>
    <w:rsid w:val="59881C95"/>
    <w:rsid w:val="73112D4B"/>
    <w:rsid w:val="7EFF68AF"/>
    <w:rsid w:val="B7E93766"/>
    <w:rsid w:val="BEFAB9C4"/>
    <w:rsid w:val="DECFB80B"/>
    <w:rsid w:val="E8DA2D46"/>
    <w:rsid w:val="FF77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992</Words>
  <Characters>1238</Characters>
  <Lines>9</Lines>
  <Paragraphs>2</Paragraphs>
  <TotalTime>0</TotalTime>
  <ScaleCrop>false</ScaleCrop>
  <LinksUpToDate>false</LinksUpToDate>
  <CharactersWithSpaces>1248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2025-10-16T23:41:00Z</dcterms:created>
  <dc:creator>Administrator</dc:creator>
  <cp:lastModifiedBy>gxxc</cp:lastModifiedBy>
  <cp:lastPrinted>2025-10-21T02:44:00Z</cp:lastPrinted>
  <dcterms:modified xsi:type="dcterms:W3CDTF">2025-12-25T10:41:08Z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711B311A59254A5FB54853D78879210C_13</vt:lpwstr>
  </property>
</Properties>
</file>